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Na osnovu članka 3. stavka 3. Zakona o komunalnom gospodarstvu </w:t>
      </w:r>
      <w:r w:rsidRPr="006E041A">
        <w:rPr>
          <w:rFonts w:ascii="Arial" w:eastAsia="Times New Roman" w:hAnsi="Arial" w:cs="Arial"/>
          <w:color w:val="000000"/>
          <w:sz w:val="20"/>
          <w:szCs w:val="20"/>
        </w:rPr>
        <w:br/>
        <w:t>(Narodne novine broj 36/95;70/97; 128/99;129/2000; 57/2000 i 59/01.) </w:t>
      </w:r>
      <w:r w:rsidRPr="006E041A">
        <w:rPr>
          <w:rFonts w:ascii="Arial" w:eastAsia="Times New Roman" w:hAnsi="Arial" w:cs="Arial"/>
          <w:color w:val="000000"/>
          <w:sz w:val="20"/>
          <w:szCs w:val="20"/>
        </w:rPr>
        <w:br/>
        <w:t>te članka 9. Statuta općine Brckovljani (Službeni glasnik općine Brckovljani 5/01) </w:t>
      </w:r>
      <w:r w:rsidRPr="006E041A">
        <w:rPr>
          <w:rFonts w:ascii="Arial" w:eastAsia="Times New Roman" w:hAnsi="Arial" w:cs="Arial"/>
          <w:color w:val="000000"/>
          <w:sz w:val="20"/>
          <w:szCs w:val="20"/>
        </w:rPr>
        <w:br/>
        <w:t>Općinsko vijeće općine Brckovljani na sjednici održanoj 28.12. 2001. godine donijelo je</w:t>
      </w:r>
    </w:p>
    <w:p w:rsidR="006E041A" w:rsidRPr="006E041A" w:rsidRDefault="006E041A" w:rsidP="006E041A">
      <w:pPr>
        <w:shd w:val="clear" w:color="auto" w:fill="FFFFFF"/>
        <w:spacing w:before="360" w:after="240" w:line="240" w:lineRule="atLeast"/>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ODLUKU</w:t>
      </w:r>
      <w:r w:rsidRPr="006E041A">
        <w:rPr>
          <w:rFonts w:ascii="Arial" w:eastAsia="Times New Roman" w:hAnsi="Arial" w:cs="Arial"/>
          <w:b/>
          <w:bCs/>
          <w:color w:val="000000"/>
          <w:sz w:val="20"/>
          <w:szCs w:val="20"/>
        </w:rPr>
        <w:br/>
        <w:t>o komunalnom doprinosu Općine Brckovljani</w:t>
      </w:r>
    </w:p>
    <w:p w:rsidR="006E041A" w:rsidRPr="006E041A" w:rsidRDefault="006E041A" w:rsidP="006E041A">
      <w:pPr>
        <w:shd w:val="clear" w:color="auto" w:fill="FFFFFF"/>
        <w:spacing w:before="360" w:after="240" w:line="240" w:lineRule="atLeast"/>
        <w:ind w:left="1050" w:right="1050"/>
        <w:rPr>
          <w:rFonts w:ascii="Arial" w:eastAsia="Times New Roman" w:hAnsi="Arial" w:cs="Arial"/>
          <w:b/>
          <w:bCs/>
          <w:color w:val="000000"/>
          <w:sz w:val="20"/>
          <w:szCs w:val="20"/>
        </w:rPr>
      </w:pPr>
      <w:r w:rsidRPr="006E041A">
        <w:rPr>
          <w:rFonts w:ascii="Arial" w:eastAsia="Times New Roman" w:hAnsi="Arial" w:cs="Arial"/>
          <w:b/>
          <w:bCs/>
          <w:color w:val="000000"/>
          <w:sz w:val="20"/>
          <w:szCs w:val="20"/>
          <w:lang w:val="en-US"/>
        </w:rPr>
        <w:t>I.</w:t>
      </w:r>
      <w:r w:rsidRPr="006E041A">
        <w:rPr>
          <w:rFonts w:ascii="Arial" w:eastAsia="Times New Roman" w:hAnsi="Arial" w:cs="Arial"/>
          <w:b/>
          <w:bCs/>
          <w:color w:val="000000"/>
          <w:sz w:val="20"/>
          <w:lang w:val="en-US"/>
        </w:rPr>
        <w:t> </w:t>
      </w:r>
      <w:r w:rsidRPr="006E041A">
        <w:rPr>
          <w:rFonts w:ascii="Arial" w:eastAsia="Times New Roman" w:hAnsi="Arial" w:cs="Arial"/>
          <w:b/>
          <w:bCs/>
          <w:color w:val="000000"/>
          <w:sz w:val="20"/>
          <w:szCs w:val="20"/>
        </w:rPr>
        <w:t>OPĆE ODREDBE</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1.</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Ovom Odlukom određuju se uvjeti i način utvrđivanja visine komunalnog doprinosa, te visina komunalnog doprinosa u Općini Brckovljani:</w:t>
      </w:r>
    </w:p>
    <w:p w:rsidR="006E041A" w:rsidRPr="006E041A" w:rsidRDefault="006E041A" w:rsidP="006E041A">
      <w:pPr>
        <w:shd w:val="clear" w:color="auto" w:fill="FFFFFF"/>
        <w:spacing w:after="15" w:line="240" w:lineRule="auto"/>
        <w:ind w:left="1770" w:right="1770"/>
        <w:jc w:val="both"/>
        <w:rPr>
          <w:rFonts w:ascii="Arial" w:eastAsia="Times New Roman" w:hAnsi="Arial" w:cs="Arial"/>
          <w:color w:val="000000"/>
          <w:sz w:val="20"/>
          <w:szCs w:val="20"/>
        </w:rPr>
      </w:pPr>
      <w:r w:rsidRPr="006E041A">
        <w:rPr>
          <w:rFonts w:ascii="Arial" w:eastAsia="Times New Roman" w:hAnsi="Arial" w:cs="Arial"/>
          <w:color w:val="000000"/>
          <w:sz w:val="20"/>
          <w:szCs w:val="20"/>
        </w:rPr>
        <w:t>- područja zona u Općini Brckovljani ovisno o pogodnosti položaja određenog područja,</w:t>
      </w:r>
    </w:p>
    <w:p w:rsidR="006E041A" w:rsidRPr="006E041A" w:rsidRDefault="006E041A" w:rsidP="006E041A">
      <w:pPr>
        <w:shd w:val="clear" w:color="auto" w:fill="FFFFFF"/>
        <w:spacing w:before="15" w:after="15" w:line="240" w:lineRule="auto"/>
        <w:ind w:left="1770" w:right="1770"/>
        <w:jc w:val="both"/>
        <w:rPr>
          <w:rFonts w:ascii="Arial" w:eastAsia="Times New Roman" w:hAnsi="Arial" w:cs="Arial"/>
          <w:color w:val="000000"/>
          <w:sz w:val="20"/>
          <w:szCs w:val="20"/>
        </w:rPr>
      </w:pPr>
      <w:r w:rsidRPr="006E041A">
        <w:rPr>
          <w:rFonts w:ascii="Arial" w:eastAsia="Times New Roman" w:hAnsi="Arial" w:cs="Arial"/>
          <w:color w:val="000000"/>
          <w:sz w:val="20"/>
          <w:szCs w:val="20"/>
        </w:rPr>
        <w:t>- jedinična vrijednost komunalnog doprinosa određena u kunama po m3 građevine za pojedine zone,</w:t>
      </w:r>
    </w:p>
    <w:p w:rsidR="006E041A" w:rsidRPr="006E041A" w:rsidRDefault="006E041A" w:rsidP="006E041A">
      <w:pPr>
        <w:shd w:val="clear" w:color="auto" w:fill="FFFFFF"/>
        <w:spacing w:before="15" w:after="15" w:line="240" w:lineRule="auto"/>
        <w:ind w:left="1770" w:right="1770"/>
        <w:jc w:val="both"/>
        <w:rPr>
          <w:rFonts w:ascii="Arial" w:eastAsia="Times New Roman" w:hAnsi="Arial" w:cs="Arial"/>
          <w:color w:val="000000"/>
          <w:sz w:val="20"/>
          <w:szCs w:val="20"/>
        </w:rPr>
      </w:pPr>
      <w:r w:rsidRPr="006E041A">
        <w:rPr>
          <w:rFonts w:ascii="Arial" w:eastAsia="Times New Roman" w:hAnsi="Arial" w:cs="Arial"/>
          <w:color w:val="000000"/>
          <w:sz w:val="20"/>
          <w:szCs w:val="20"/>
        </w:rPr>
        <w:t>- način i rokovi plaćanja komunalnog doprinosa,</w:t>
      </w:r>
    </w:p>
    <w:p w:rsidR="006E041A" w:rsidRPr="006E041A" w:rsidRDefault="006E041A" w:rsidP="006E041A">
      <w:pPr>
        <w:shd w:val="clear" w:color="auto" w:fill="FFFFFF"/>
        <w:spacing w:before="15" w:after="15" w:line="240" w:lineRule="auto"/>
        <w:ind w:left="1770" w:right="1770"/>
        <w:jc w:val="both"/>
        <w:rPr>
          <w:rFonts w:ascii="Arial" w:eastAsia="Times New Roman" w:hAnsi="Arial" w:cs="Arial"/>
          <w:color w:val="000000"/>
          <w:sz w:val="20"/>
          <w:szCs w:val="20"/>
        </w:rPr>
      </w:pPr>
      <w:r w:rsidRPr="006E041A">
        <w:rPr>
          <w:rFonts w:ascii="Arial" w:eastAsia="Times New Roman" w:hAnsi="Arial" w:cs="Arial"/>
          <w:color w:val="000000"/>
          <w:sz w:val="20"/>
          <w:szCs w:val="20"/>
        </w:rPr>
        <w:t>- opći uvjeti i razlozi zbog kojih se u pojedinačnim slučajevima može odobriti djelomično ili potpuno oslobađanje od plaćanja komunalnog doprinosa,</w:t>
      </w:r>
    </w:p>
    <w:p w:rsidR="006E041A" w:rsidRPr="006E041A" w:rsidRDefault="006E041A" w:rsidP="006E041A">
      <w:pPr>
        <w:shd w:val="clear" w:color="auto" w:fill="FFFFFF"/>
        <w:spacing w:before="15" w:after="100" w:line="240" w:lineRule="auto"/>
        <w:ind w:left="1770" w:right="1770"/>
        <w:jc w:val="both"/>
        <w:rPr>
          <w:rFonts w:ascii="Arial" w:eastAsia="Times New Roman" w:hAnsi="Arial" w:cs="Arial"/>
          <w:color w:val="000000"/>
          <w:sz w:val="20"/>
          <w:szCs w:val="20"/>
        </w:rPr>
      </w:pPr>
      <w:r w:rsidRPr="006E041A">
        <w:rPr>
          <w:rFonts w:ascii="Arial" w:eastAsia="Times New Roman" w:hAnsi="Arial" w:cs="Arial"/>
          <w:color w:val="000000"/>
          <w:sz w:val="20"/>
          <w:szCs w:val="20"/>
        </w:rPr>
        <w:t>- izvore sredstava iz kojih će se namiriti iznos za slučaj potpunog ili djelomičnog oslobađanja od plaćanja komunalnog doprinosa.</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2.</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Komunalni doprinos je prihod proračuna Općine Brckovljani. Sredstva komunalnog doprinosa namijenjena su financiranju gradnje objekata i uređaja komunalne infrastrukture:</w:t>
      </w:r>
    </w:p>
    <w:p w:rsidR="006E041A" w:rsidRPr="006E041A" w:rsidRDefault="006E041A" w:rsidP="006E041A">
      <w:pPr>
        <w:shd w:val="clear" w:color="auto" w:fill="FFFFFF"/>
        <w:spacing w:after="15" w:line="240" w:lineRule="auto"/>
        <w:ind w:left="1770" w:right="1770"/>
        <w:jc w:val="both"/>
        <w:rPr>
          <w:rFonts w:ascii="Arial" w:eastAsia="Times New Roman" w:hAnsi="Arial" w:cs="Arial"/>
          <w:color w:val="000000"/>
          <w:sz w:val="20"/>
          <w:szCs w:val="20"/>
        </w:rPr>
      </w:pPr>
      <w:r w:rsidRPr="006E041A">
        <w:rPr>
          <w:rFonts w:ascii="Arial" w:eastAsia="Times New Roman" w:hAnsi="Arial" w:cs="Arial"/>
          <w:color w:val="000000"/>
          <w:sz w:val="20"/>
          <w:szCs w:val="20"/>
        </w:rPr>
        <w:t>• javne površine,</w:t>
      </w:r>
    </w:p>
    <w:p w:rsidR="006E041A" w:rsidRPr="006E041A" w:rsidRDefault="006E041A" w:rsidP="006E041A">
      <w:pPr>
        <w:shd w:val="clear" w:color="auto" w:fill="FFFFFF"/>
        <w:spacing w:before="15" w:after="15" w:line="240" w:lineRule="auto"/>
        <w:ind w:left="1770" w:right="1770"/>
        <w:jc w:val="both"/>
        <w:rPr>
          <w:rFonts w:ascii="Arial" w:eastAsia="Times New Roman" w:hAnsi="Arial" w:cs="Arial"/>
          <w:color w:val="000000"/>
          <w:sz w:val="20"/>
          <w:szCs w:val="20"/>
        </w:rPr>
      </w:pPr>
      <w:r w:rsidRPr="006E041A">
        <w:rPr>
          <w:rFonts w:ascii="Arial" w:eastAsia="Times New Roman" w:hAnsi="Arial" w:cs="Arial"/>
          <w:color w:val="000000"/>
          <w:sz w:val="20"/>
          <w:szCs w:val="20"/>
        </w:rPr>
        <w:t>• nerazvrstane ceste,</w:t>
      </w:r>
    </w:p>
    <w:p w:rsidR="006E041A" w:rsidRPr="006E041A" w:rsidRDefault="006E041A" w:rsidP="006E041A">
      <w:pPr>
        <w:shd w:val="clear" w:color="auto" w:fill="FFFFFF"/>
        <w:spacing w:before="15" w:after="15" w:line="240" w:lineRule="auto"/>
        <w:ind w:left="1770" w:right="1770"/>
        <w:jc w:val="both"/>
        <w:rPr>
          <w:rFonts w:ascii="Arial" w:eastAsia="Times New Roman" w:hAnsi="Arial" w:cs="Arial"/>
          <w:color w:val="000000"/>
          <w:sz w:val="20"/>
          <w:szCs w:val="20"/>
        </w:rPr>
      </w:pPr>
      <w:r w:rsidRPr="006E041A">
        <w:rPr>
          <w:rFonts w:ascii="Arial" w:eastAsia="Times New Roman" w:hAnsi="Arial" w:cs="Arial"/>
          <w:color w:val="000000"/>
          <w:sz w:val="20"/>
          <w:szCs w:val="20"/>
        </w:rPr>
        <w:t>• groblje,</w:t>
      </w:r>
    </w:p>
    <w:p w:rsidR="006E041A" w:rsidRPr="006E041A" w:rsidRDefault="006E041A" w:rsidP="006E041A">
      <w:pPr>
        <w:shd w:val="clear" w:color="auto" w:fill="FFFFFF"/>
        <w:spacing w:before="15" w:after="100" w:line="240" w:lineRule="auto"/>
        <w:ind w:left="1770" w:right="1770"/>
        <w:jc w:val="both"/>
        <w:rPr>
          <w:rFonts w:ascii="Arial" w:eastAsia="Times New Roman" w:hAnsi="Arial" w:cs="Arial"/>
          <w:color w:val="000000"/>
          <w:sz w:val="20"/>
          <w:szCs w:val="20"/>
        </w:rPr>
      </w:pPr>
      <w:r w:rsidRPr="006E041A">
        <w:rPr>
          <w:rFonts w:ascii="Arial" w:eastAsia="Times New Roman" w:hAnsi="Arial" w:cs="Arial"/>
          <w:color w:val="000000"/>
          <w:sz w:val="20"/>
          <w:szCs w:val="20"/>
        </w:rPr>
        <w:t>• javna rasvjeta.</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3.</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Komunalni doprinos plaća vlasnik građevne čestice na kojoj se gradi građevina, odnosno investitor objekta.</w:t>
      </w:r>
    </w:p>
    <w:p w:rsidR="006E041A" w:rsidRPr="006E041A" w:rsidRDefault="006E041A" w:rsidP="006E041A">
      <w:pPr>
        <w:shd w:val="clear" w:color="auto" w:fill="FFFFFF"/>
        <w:spacing w:before="360" w:after="240" w:line="240" w:lineRule="atLeast"/>
        <w:ind w:left="1050" w:right="1050"/>
        <w:rPr>
          <w:rFonts w:ascii="Arial" w:eastAsia="Times New Roman" w:hAnsi="Arial" w:cs="Arial"/>
          <w:b/>
          <w:bCs/>
          <w:color w:val="000000"/>
          <w:sz w:val="20"/>
          <w:szCs w:val="20"/>
        </w:rPr>
      </w:pPr>
      <w:r w:rsidRPr="006E041A">
        <w:rPr>
          <w:rFonts w:ascii="Arial" w:eastAsia="Times New Roman" w:hAnsi="Arial" w:cs="Arial"/>
          <w:b/>
          <w:bCs/>
          <w:color w:val="000000"/>
          <w:sz w:val="20"/>
          <w:szCs w:val="20"/>
          <w:lang w:val="en-US"/>
        </w:rPr>
        <w:t>II.</w:t>
      </w:r>
      <w:r w:rsidRPr="006E041A">
        <w:rPr>
          <w:rFonts w:ascii="Arial" w:eastAsia="Times New Roman" w:hAnsi="Arial" w:cs="Arial"/>
          <w:b/>
          <w:bCs/>
          <w:color w:val="000000"/>
          <w:sz w:val="20"/>
          <w:lang w:val="en-US"/>
        </w:rPr>
        <w:t> </w:t>
      </w:r>
      <w:r w:rsidRPr="006E041A">
        <w:rPr>
          <w:rFonts w:ascii="Arial" w:eastAsia="Times New Roman" w:hAnsi="Arial" w:cs="Arial"/>
          <w:b/>
          <w:bCs/>
          <w:color w:val="000000"/>
          <w:sz w:val="20"/>
          <w:szCs w:val="20"/>
        </w:rPr>
        <w:t>ZONE ZA PLAĆANJE KOMUNALNOG DOPRINOSA</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4.</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Za sva naselja na području Općine Brckovljani utvrđuje se jedna zona za naplaćivanje komunalnog doprinosa.</w:t>
      </w:r>
    </w:p>
    <w:p w:rsidR="006E041A" w:rsidRPr="006E041A" w:rsidRDefault="006E041A" w:rsidP="006E041A">
      <w:pPr>
        <w:shd w:val="clear" w:color="auto" w:fill="FFFFFF"/>
        <w:spacing w:before="360" w:after="240" w:line="240" w:lineRule="atLeast"/>
        <w:ind w:left="1050" w:right="1050"/>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III. JEDINIČNA VRIJEDNOST KOMUNALNOG DOPRINOSA</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5.       </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Utvrđuje se jedinična vrijednost komunalnog doprinosa u kunama po m3 građevine i to:</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   </w:t>
      </w:r>
    </w:p>
    <w:tbl>
      <w:tblPr>
        <w:tblW w:w="7500" w:type="dxa"/>
        <w:tblInd w:w="40" w:type="dxa"/>
        <w:shd w:val="clear" w:color="auto" w:fill="FFFFFF"/>
        <w:tblCellMar>
          <w:top w:w="30" w:type="dxa"/>
          <w:left w:w="30" w:type="dxa"/>
          <w:bottom w:w="30" w:type="dxa"/>
          <w:right w:w="30" w:type="dxa"/>
        </w:tblCellMar>
        <w:tblLook w:val="04A0"/>
      </w:tblPr>
      <w:tblGrid>
        <w:gridCol w:w="247"/>
        <w:gridCol w:w="2562"/>
        <w:gridCol w:w="2119"/>
        <w:gridCol w:w="2572"/>
      </w:tblGrid>
      <w:tr w:rsidR="006E041A" w:rsidRPr="006E041A" w:rsidTr="006E041A">
        <w:trPr>
          <w:trHeight w:val="300"/>
        </w:trPr>
        <w:tc>
          <w:tcPr>
            <w:tcW w:w="240" w:type="dxa"/>
            <w:tcBorders>
              <w:top w:val="nil"/>
              <w:left w:val="nil"/>
            </w:tcBorders>
            <w:shd w:val="clear" w:color="auto" w:fill="FFFFFF"/>
            <w:tcMar>
              <w:top w:w="0" w:type="dxa"/>
              <w:left w:w="40" w:type="dxa"/>
              <w:bottom w:w="0" w:type="dxa"/>
              <w:right w:w="40" w:type="dxa"/>
            </w:tcMar>
            <w:vAlign w:val="center"/>
            <w:hideMark/>
          </w:tcPr>
          <w:p w:rsidR="006E041A" w:rsidRPr="006E041A" w:rsidRDefault="006E041A" w:rsidP="006E041A">
            <w:pPr>
              <w:spacing w:after="0" w:line="300" w:lineRule="atLeast"/>
              <w:jc w:val="both"/>
              <w:rPr>
                <w:rFonts w:ascii="Arial" w:eastAsia="Times New Roman" w:hAnsi="Arial" w:cs="Arial"/>
                <w:sz w:val="20"/>
                <w:szCs w:val="20"/>
              </w:rPr>
            </w:pPr>
            <w:r w:rsidRPr="006E041A">
              <w:rPr>
                <w:rFonts w:ascii="Arial" w:eastAsia="Times New Roman" w:hAnsi="Arial" w:cs="Arial"/>
                <w:sz w:val="20"/>
                <w:szCs w:val="20"/>
              </w:rPr>
              <w:t> </w:t>
            </w:r>
          </w:p>
        </w:tc>
        <w:tc>
          <w:tcPr>
            <w:tcW w:w="3585" w:type="dxa"/>
            <w:tcBorders>
              <w:top w:val="nil"/>
            </w:tcBorders>
            <w:shd w:val="clear" w:color="auto" w:fill="FFFFFF"/>
            <w:tcMar>
              <w:top w:w="0" w:type="dxa"/>
              <w:left w:w="40" w:type="dxa"/>
              <w:bottom w:w="0" w:type="dxa"/>
              <w:right w:w="40" w:type="dxa"/>
            </w:tcMar>
            <w:vAlign w:val="bottom"/>
            <w:hideMark/>
          </w:tcPr>
          <w:p w:rsidR="006E041A" w:rsidRPr="006E041A" w:rsidRDefault="006E041A" w:rsidP="006E041A">
            <w:pPr>
              <w:spacing w:after="0" w:line="300" w:lineRule="atLeast"/>
              <w:jc w:val="center"/>
              <w:rPr>
                <w:rFonts w:ascii="Arial" w:eastAsia="Times New Roman" w:hAnsi="Arial" w:cs="Arial"/>
                <w:sz w:val="20"/>
                <w:szCs w:val="20"/>
              </w:rPr>
            </w:pPr>
            <w:r w:rsidRPr="006E041A">
              <w:rPr>
                <w:rFonts w:ascii="Arial" w:eastAsia="Times New Roman" w:hAnsi="Arial" w:cs="Arial"/>
                <w:sz w:val="20"/>
                <w:szCs w:val="20"/>
              </w:rPr>
              <w:t>OBJEKT I ZONE</w:t>
            </w:r>
          </w:p>
        </w:tc>
        <w:tc>
          <w:tcPr>
            <w:tcW w:w="3090" w:type="dxa"/>
            <w:tcBorders>
              <w:top w:val="nil"/>
            </w:tcBorders>
            <w:shd w:val="clear" w:color="auto" w:fill="FFFFFF"/>
            <w:tcMar>
              <w:top w:w="0" w:type="dxa"/>
              <w:left w:w="40" w:type="dxa"/>
              <w:bottom w:w="0" w:type="dxa"/>
              <w:right w:w="40" w:type="dxa"/>
            </w:tcMar>
            <w:vAlign w:val="bottom"/>
            <w:hideMark/>
          </w:tcPr>
          <w:p w:rsidR="006E041A" w:rsidRPr="006E041A" w:rsidRDefault="006E041A" w:rsidP="006E041A">
            <w:pPr>
              <w:spacing w:after="0" w:line="300" w:lineRule="atLeast"/>
              <w:jc w:val="center"/>
              <w:rPr>
                <w:rFonts w:ascii="Arial" w:eastAsia="Times New Roman" w:hAnsi="Arial" w:cs="Arial"/>
                <w:sz w:val="20"/>
                <w:szCs w:val="20"/>
              </w:rPr>
            </w:pPr>
            <w:r w:rsidRPr="006E041A">
              <w:rPr>
                <w:rFonts w:ascii="Arial" w:eastAsia="Times New Roman" w:hAnsi="Arial" w:cs="Arial"/>
                <w:sz w:val="20"/>
                <w:szCs w:val="20"/>
              </w:rPr>
              <w:t xml:space="preserve">STAMBENI </w:t>
            </w:r>
            <w:r w:rsidRPr="006E041A">
              <w:rPr>
                <w:rFonts w:ascii="Arial" w:eastAsia="Times New Roman" w:hAnsi="Arial" w:cs="Arial"/>
                <w:sz w:val="20"/>
                <w:szCs w:val="20"/>
              </w:rPr>
              <w:lastRenderedPageBreak/>
              <w:t>PROSTOR</w:t>
            </w:r>
          </w:p>
        </w:tc>
        <w:tc>
          <w:tcPr>
            <w:tcW w:w="3540" w:type="dxa"/>
            <w:tcBorders>
              <w:top w:val="nil"/>
              <w:right w:val="nil"/>
            </w:tcBorders>
            <w:shd w:val="clear" w:color="auto" w:fill="FFFFFF"/>
            <w:tcMar>
              <w:top w:w="0" w:type="dxa"/>
              <w:left w:w="40" w:type="dxa"/>
              <w:bottom w:w="0" w:type="dxa"/>
              <w:right w:w="40" w:type="dxa"/>
            </w:tcMar>
            <w:vAlign w:val="bottom"/>
            <w:hideMark/>
          </w:tcPr>
          <w:p w:rsidR="006E041A" w:rsidRPr="006E041A" w:rsidRDefault="006E041A" w:rsidP="006E041A">
            <w:pPr>
              <w:spacing w:after="0" w:line="300" w:lineRule="atLeast"/>
              <w:jc w:val="center"/>
              <w:rPr>
                <w:rFonts w:ascii="Arial" w:eastAsia="Times New Roman" w:hAnsi="Arial" w:cs="Arial"/>
                <w:sz w:val="20"/>
                <w:szCs w:val="20"/>
              </w:rPr>
            </w:pPr>
            <w:r w:rsidRPr="006E041A">
              <w:rPr>
                <w:rFonts w:ascii="Arial" w:eastAsia="Times New Roman" w:hAnsi="Arial" w:cs="Arial"/>
                <w:sz w:val="20"/>
                <w:szCs w:val="20"/>
              </w:rPr>
              <w:lastRenderedPageBreak/>
              <w:t xml:space="preserve">POSLOVNI I </w:t>
            </w:r>
            <w:r w:rsidRPr="006E041A">
              <w:rPr>
                <w:rFonts w:ascii="Arial" w:eastAsia="Times New Roman" w:hAnsi="Arial" w:cs="Arial"/>
                <w:sz w:val="20"/>
                <w:szCs w:val="20"/>
              </w:rPr>
              <w:lastRenderedPageBreak/>
              <w:t>GOSPODARSKI PROSTOR</w:t>
            </w:r>
          </w:p>
        </w:tc>
      </w:tr>
      <w:tr w:rsidR="006E041A" w:rsidRPr="006E041A" w:rsidTr="006E041A">
        <w:trPr>
          <w:trHeight w:val="168"/>
        </w:trPr>
        <w:tc>
          <w:tcPr>
            <w:tcW w:w="240" w:type="dxa"/>
            <w:tcBorders>
              <w:left w:val="nil"/>
            </w:tcBorders>
            <w:shd w:val="clear" w:color="auto" w:fill="FFFFFF"/>
            <w:tcMar>
              <w:top w:w="0" w:type="dxa"/>
              <w:left w:w="40" w:type="dxa"/>
              <w:bottom w:w="0" w:type="dxa"/>
              <w:right w:w="40" w:type="dxa"/>
            </w:tcMar>
            <w:vAlign w:val="center"/>
            <w:hideMark/>
          </w:tcPr>
          <w:p w:rsidR="006E041A" w:rsidRPr="006E041A" w:rsidRDefault="006E041A" w:rsidP="006E041A">
            <w:pPr>
              <w:spacing w:after="0" w:line="168" w:lineRule="atLeast"/>
              <w:jc w:val="center"/>
              <w:rPr>
                <w:rFonts w:ascii="Arial" w:eastAsia="Times New Roman" w:hAnsi="Arial" w:cs="Arial"/>
                <w:sz w:val="20"/>
                <w:szCs w:val="20"/>
              </w:rPr>
            </w:pPr>
            <w:r w:rsidRPr="006E041A">
              <w:rPr>
                <w:rFonts w:ascii="Arial" w:eastAsia="Times New Roman" w:hAnsi="Arial" w:cs="Arial"/>
                <w:sz w:val="20"/>
                <w:szCs w:val="20"/>
              </w:rPr>
              <w:lastRenderedPageBreak/>
              <w:t> </w:t>
            </w:r>
          </w:p>
        </w:tc>
        <w:tc>
          <w:tcPr>
            <w:tcW w:w="3585" w:type="dxa"/>
            <w:shd w:val="clear" w:color="auto" w:fill="FFFFFF"/>
            <w:tcMar>
              <w:top w:w="0" w:type="dxa"/>
              <w:left w:w="40" w:type="dxa"/>
              <w:bottom w:w="0" w:type="dxa"/>
              <w:right w:w="40" w:type="dxa"/>
            </w:tcMar>
            <w:vAlign w:val="center"/>
            <w:hideMark/>
          </w:tcPr>
          <w:p w:rsidR="006E041A" w:rsidRPr="006E041A" w:rsidRDefault="006E041A" w:rsidP="006E041A">
            <w:pPr>
              <w:spacing w:after="0" w:line="168" w:lineRule="atLeast"/>
              <w:jc w:val="center"/>
              <w:rPr>
                <w:rFonts w:ascii="Arial" w:eastAsia="Times New Roman" w:hAnsi="Arial" w:cs="Arial"/>
                <w:sz w:val="20"/>
                <w:szCs w:val="20"/>
              </w:rPr>
            </w:pPr>
            <w:r w:rsidRPr="006E041A">
              <w:rPr>
                <w:rFonts w:ascii="Arial" w:eastAsia="Times New Roman" w:hAnsi="Arial" w:cs="Arial"/>
                <w:sz w:val="20"/>
                <w:szCs w:val="20"/>
              </w:rPr>
              <w:t>1</w:t>
            </w:r>
          </w:p>
        </w:tc>
        <w:tc>
          <w:tcPr>
            <w:tcW w:w="3090" w:type="dxa"/>
            <w:shd w:val="clear" w:color="auto" w:fill="FFFFFF"/>
            <w:tcMar>
              <w:top w:w="0" w:type="dxa"/>
              <w:left w:w="40" w:type="dxa"/>
              <w:bottom w:w="0" w:type="dxa"/>
              <w:right w:w="40" w:type="dxa"/>
            </w:tcMar>
            <w:vAlign w:val="center"/>
            <w:hideMark/>
          </w:tcPr>
          <w:p w:rsidR="006E041A" w:rsidRPr="006E041A" w:rsidRDefault="006E041A" w:rsidP="006E041A">
            <w:pPr>
              <w:spacing w:after="0" w:line="168" w:lineRule="atLeast"/>
              <w:jc w:val="center"/>
              <w:rPr>
                <w:rFonts w:ascii="Arial" w:eastAsia="Times New Roman" w:hAnsi="Arial" w:cs="Arial"/>
                <w:sz w:val="20"/>
                <w:szCs w:val="20"/>
              </w:rPr>
            </w:pPr>
            <w:r w:rsidRPr="006E041A">
              <w:rPr>
                <w:rFonts w:ascii="Arial" w:eastAsia="Times New Roman" w:hAnsi="Arial" w:cs="Arial"/>
                <w:sz w:val="20"/>
                <w:szCs w:val="20"/>
              </w:rPr>
              <w:t>2</w:t>
            </w:r>
          </w:p>
        </w:tc>
        <w:tc>
          <w:tcPr>
            <w:tcW w:w="3540" w:type="dxa"/>
            <w:tcBorders>
              <w:right w:val="nil"/>
            </w:tcBorders>
            <w:shd w:val="clear" w:color="auto" w:fill="FFFFFF"/>
            <w:tcMar>
              <w:top w:w="0" w:type="dxa"/>
              <w:left w:w="40" w:type="dxa"/>
              <w:bottom w:w="0" w:type="dxa"/>
              <w:right w:w="40" w:type="dxa"/>
            </w:tcMar>
            <w:vAlign w:val="center"/>
            <w:hideMark/>
          </w:tcPr>
          <w:p w:rsidR="006E041A" w:rsidRPr="006E041A" w:rsidRDefault="006E041A" w:rsidP="006E041A">
            <w:pPr>
              <w:spacing w:after="0" w:line="168" w:lineRule="atLeast"/>
              <w:jc w:val="center"/>
              <w:rPr>
                <w:rFonts w:ascii="Arial" w:eastAsia="Times New Roman" w:hAnsi="Arial" w:cs="Arial"/>
                <w:sz w:val="20"/>
                <w:szCs w:val="20"/>
              </w:rPr>
            </w:pPr>
            <w:r w:rsidRPr="006E041A">
              <w:rPr>
                <w:rFonts w:ascii="Arial" w:eastAsia="Times New Roman" w:hAnsi="Arial" w:cs="Arial"/>
                <w:sz w:val="20"/>
                <w:szCs w:val="20"/>
              </w:rPr>
              <w:t>3</w:t>
            </w:r>
          </w:p>
        </w:tc>
      </w:tr>
      <w:tr w:rsidR="006E041A" w:rsidRPr="006E041A" w:rsidTr="006E041A">
        <w:trPr>
          <w:trHeight w:val="206"/>
        </w:trPr>
        <w:tc>
          <w:tcPr>
            <w:tcW w:w="240" w:type="dxa"/>
            <w:tcBorders>
              <w:left w:val="nil"/>
            </w:tcBorders>
            <w:shd w:val="clear" w:color="auto" w:fill="FFFFFF"/>
            <w:tcMar>
              <w:top w:w="0" w:type="dxa"/>
              <w:left w:w="40" w:type="dxa"/>
              <w:bottom w:w="0" w:type="dxa"/>
              <w:right w:w="40" w:type="dxa"/>
            </w:tcMar>
            <w:hideMark/>
          </w:tcPr>
          <w:p w:rsidR="006E041A" w:rsidRPr="006E041A" w:rsidRDefault="006E041A" w:rsidP="006E041A">
            <w:pPr>
              <w:spacing w:after="0" w:line="300" w:lineRule="atLeast"/>
              <w:jc w:val="both"/>
              <w:rPr>
                <w:rFonts w:ascii="Arial" w:eastAsia="Times New Roman" w:hAnsi="Arial" w:cs="Arial"/>
                <w:sz w:val="20"/>
                <w:szCs w:val="20"/>
              </w:rPr>
            </w:pPr>
            <w:r w:rsidRPr="006E041A">
              <w:rPr>
                <w:rFonts w:ascii="Arial" w:eastAsia="Times New Roman" w:hAnsi="Arial" w:cs="Arial"/>
                <w:sz w:val="20"/>
                <w:szCs w:val="20"/>
              </w:rPr>
              <w:t>1.</w:t>
            </w:r>
          </w:p>
        </w:tc>
        <w:tc>
          <w:tcPr>
            <w:tcW w:w="3585" w:type="dxa"/>
            <w:shd w:val="clear" w:color="auto" w:fill="FFFFFF"/>
            <w:tcMar>
              <w:top w:w="0" w:type="dxa"/>
              <w:left w:w="40" w:type="dxa"/>
              <w:bottom w:w="0" w:type="dxa"/>
              <w:right w:w="40" w:type="dxa"/>
            </w:tcMar>
            <w:hideMark/>
          </w:tcPr>
          <w:p w:rsidR="006E041A" w:rsidRPr="006E041A" w:rsidRDefault="006E041A" w:rsidP="006E041A">
            <w:pPr>
              <w:spacing w:after="0" w:line="300" w:lineRule="atLeast"/>
              <w:rPr>
                <w:rFonts w:ascii="Arial" w:eastAsia="Times New Roman" w:hAnsi="Arial" w:cs="Arial"/>
                <w:sz w:val="20"/>
                <w:szCs w:val="20"/>
              </w:rPr>
            </w:pPr>
            <w:r w:rsidRPr="006E041A">
              <w:rPr>
                <w:rFonts w:ascii="Arial" w:eastAsia="Times New Roman" w:hAnsi="Arial" w:cs="Arial"/>
                <w:sz w:val="20"/>
                <w:szCs w:val="20"/>
              </w:rPr>
              <w:t>JAVNE POVRŠINE (nogostup itd.)</w:t>
            </w:r>
          </w:p>
        </w:tc>
        <w:tc>
          <w:tcPr>
            <w:tcW w:w="3090" w:type="dxa"/>
            <w:shd w:val="clear" w:color="auto" w:fill="FFFFFF"/>
            <w:tcMar>
              <w:top w:w="0" w:type="dxa"/>
              <w:left w:w="40" w:type="dxa"/>
              <w:bottom w:w="0" w:type="dxa"/>
              <w:right w:w="40" w:type="dxa"/>
            </w:tcMar>
            <w:hideMark/>
          </w:tcPr>
          <w:p w:rsidR="006E041A" w:rsidRPr="006E041A" w:rsidRDefault="006E041A" w:rsidP="006E041A">
            <w:pPr>
              <w:spacing w:after="0" w:line="300" w:lineRule="atLeast"/>
              <w:jc w:val="right"/>
              <w:rPr>
                <w:rFonts w:ascii="Arial" w:eastAsia="Times New Roman" w:hAnsi="Arial" w:cs="Arial"/>
                <w:sz w:val="20"/>
                <w:szCs w:val="20"/>
              </w:rPr>
            </w:pPr>
            <w:r w:rsidRPr="006E041A">
              <w:rPr>
                <w:rFonts w:ascii="Arial" w:eastAsia="Times New Roman" w:hAnsi="Arial" w:cs="Arial"/>
                <w:sz w:val="20"/>
                <w:szCs w:val="20"/>
              </w:rPr>
              <w:t>7,00 kn/m3</w:t>
            </w:r>
          </w:p>
        </w:tc>
        <w:tc>
          <w:tcPr>
            <w:tcW w:w="3540" w:type="dxa"/>
            <w:tcBorders>
              <w:right w:val="nil"/>
            </w:tcBorders>
            <w:shd w:val="clear" w:color="auto" w:fill="FFFFFF"/>
            <w:tcMar>
              <w:top w:w="0" w:type="dxa"/>
              <w:left w:w="40" w:type="dxa"/>
              <w:bottom w:w="0" w:type="dxa"/>
              <w:right w:w="40" w:type="dxa"/>
            </w:tcMar>
            <w:hideMark/>
          </w:tcPr>
          <w:p w:rsidR="006E041A" w:rsidRPr="006E041A" w:rsidRDefault="006E041A" w:rsidP="006E041A">
            <w:pPr>
              <w:spacing w:after="0" w:line="300" w:lineRule="atLeast"/>
              <w:jc w:val="right"/>
              <w:rPr>
                <w:rFonts w:ascii="Arial" w:eastAsia="Times New Roman" w:hAnsi="Arial" w:cs="Arial"/>
                <w:sz w:val="20"/>
                <w:szCs w:val="20"/>
              </w:rPr>
            </w:pPr>
            <w:r w:rsidRPr="006E041A">
              <w:rPr>
                <w:rFonts w:ascii="Arial" w:eastAsia="Times New Roman" w:hAnsi="Arial" w:cs="Arial"/>
                <w:sz w:val="20"/>
                <w:szCs w:val="20"/>
              </w:rPr>
              <w:t>12,00 kn/m3</w:t>
            </w:r>
          </w:p>
        </w:tc>
      </w:tr>
      <w:tr w:rsidR="006E041A" w:rsidRPr="006E041A" w:rsidTr="006E041A">
        <w:trPr>
          <w:trHeight w:val="197"/>
        </w:trPr>
        <w:tc>
          <w:tcPr>
            <w:tcW w:w="240" w:type="dxa"/>
            <w:tcBorders>
              <w:left w:val="nil"/>
            </w:tcBorders>
            <w:shd w:val="clear" w:color="auto" w:fill="FFFFFF"/>
            <w:tcMar>
              <w:top w:w="0" w:type="dxa"/>
              <w:left w:w="40" w:type="dxa"/>
              <w:bottom w:w="0" w:type="dxa"/>
              <w:right w:w="40" w:type="dxa"/>
            </w:tcMar>
            <w:vAlign w:val="center"/>
            <w:hideMark/>
          </w:tcPr>
          <w:p w:rsidR="006E041A" w:rsidRPr="006E041A" w:rsidRDefault="006E041A" w:rsidP="006E041A">
            <w:pPr>
              <w:spacing w:after="0" w:line="300" w:lineRule="atLeast"/>
              <w:jc w:val="both"/>
              <w:rPr>
                <w:rFonts w:ascii="Arial" w:eastAsia="Times New Roman" w:hAnsi="Arial" w:cs="Arial"/>
                <w:sz w:val="20"/>
                <w:szCs w:val="20"/>
              </w:rPr>
            </w:pPr>
            <w:r w:rsidRPr="006E041A">
              <w:rPr>
                <w:rFonts w:ascii="Arial" w:eastAsia="Times New Roman" w:hAnsi="Arial" w:cs="Arial"/>
                <w:sz w:val="20"/>
                <w:szCs w:val="20"/>
              </w:rPr>
              <w:t>2.</w:t>
            </w:r>
          </w:p>
        </w:tc>
        <w:tc>
          <w:tcPr>
            <w:tcW w:w="3585" w:type="dxa"/>
            <w:shd w:val="clear" w:color="auto" w:fill="FFFFFF"/>
            <w:tcMar>
              <w:top w:w="0" w:type="dxa"/>
              <w:left w:w="40" w:type="dxa"/>
              <w:bottom w:w="0" w:type="dxa"/>
              <w:right w:w="40" w:type="dxa"/>
            </w:tcMar>
            <w:vAlign w:val="center"/>
            <w:hideMark/>
          </w:tcPr>
          <w:p w:rsidR="006E041A" w:rsidRPr="006E041A" w:rsidRDefault="006E041A" w:rsidP="006E041A">
            <w:pPr>
              <w:spacing w:after="0" w:line="300" w:lineRule="atLeast"/>
              <w:jc w:val="both"/>
              <w:rPr>
                <w:rFonts w:ascii="Arial" w:eastAsia="Times New Roman" w:hAnsi="Arial" w:cs="Arial"/>
                <w:sz w:val="20"/>
                <w:szCs w:val="20"/>
              </w:rPr>
            </w:pPr>
            <w:r w:rsidRPr="006E041A">
              <w:rPr>
                <w:rFonts w:ascii="Arial" w:eastAsia="Times New Roman" w:hAnsi="Arial" w:cs="Arial"/>
                <w:sz w:val="20"/>
                <w:szCs w:val="20"/>
              </w:rPr>
              <w:t>a) ASFALTNA CESTA</w:t>
            </w:r>
          </w:p>
        </w:tc>
        <w:tc>
          <w:tcPr>
            <w:tcW w:w="3090" w:type="dxa"/>
            <w:shd w:val="clear" w:color="auto" w:fill="FFFFFF"/>
            <w:tcMar>
              <w:top w:w="0" w:type="dxa"/>
              <w:left w:w="40" w:type="dxa"/>
              <w:bottom w:w="0" w:type="dxa"/>
              <w:right w:w="40" w:type="dxa"/>
            </w:tcMar>
            <w:vAlign w:val="center"/>
            <w:hideMark/>
          </w:tcPr>
          <w:p w:rsidR="006E041A" w:rsidRPr="006E041A" w:rsidRDefault="006E041A" w:rsidP="006E041A">
            <w:pPr>
              <w:spacing w:after="0" w:line="300" w:lineRule="atLeast"/>
              <w:jc w:val="right"/>
              <w:rPr>
                <w:rFonts w:ascii="Arial" w:eastAsia="Times New Roman" w:hAnsi="Arial" w:cs="Arial"/>
                <w:sz w:val="20"/>
                <w:szCs w:val="20"/>
              </w:rPr>
            </w:pPr>
            <w:r w:rsidRPr="006E041A">
              <w:rPr>
                <w:rFonts w:ascii="Arial" w:eastAsia="Times New Roman" w:hAnsi="Arial" w:cs="Arial"/>
                <w:sz w:val="20"/>
                <w:szCs w:val="20"/>
              </w:rPr>
              <w:t>18,00 kn/m3</w:t>
            </w:r>
          </w:p>
        </w:tc>
        <w:tc>
          <w:tcPr>
            <w:tcW w:w="3540" w:type="dxa"/>
            <w:tcBorders>
              <w:right w:val="nil"/>
            </w:tcBorders>
            <w:shd w:val="clear" w:color="auto" w:fill="FFFFFF"/>
            <w:tcMar>
              <w:top w:w="0" w:type="dxa"/>
              <w:left w:w="40" w:type="dxa"/>
              <w:bottom w:w="0" w:type="dxa"/>
              <w:right w:w="40" w:type="dxa"/>
            </w:tcMar>
            <w:vAlign w:val="center"/>
            <w:hideMark/>
          </w:tcPr>
          <w:p w:rsidR="006E041A" w:rsidRPr="006E041A" w:rsidRDefault="006E041A" w:rsidP="006E041A">
            <w:pPr>
              <w:spacing w:after="0" w:line="300" w:lineRule="atLeast"/>
              <w:jc w:val="right"/>
              <w:rPr>
                <w:rFonts w:ascii="Arial" w:eastAsia="Times New Roman" w:hAnsi="Arial" w:cs="Arial"/>
                <w:sz w:val="20"/>
                <w:szCs w:val="20"/>
              </w:rPr>
            </w:pPr>
            <w:r w:rsidRPr="006E041A">
              <w:rPr>
                <w:rFonts w:ascii="Arial" w:eastAsia="Times New Roman" w:hAnsi="Arial" w:cs="Arial"/>
                <w:sz w:val="20"/>
                <w:szCs w:val="20"/>
              </w:rPr>
              <w:t>7,00 kn/m3</w:t>
            </w:r>
          </w:p>
        </w:tc>
      </w:tr>
      <w:tr w:rsidR="006E041A" w:rsidRPr="006E041A" w:rsidTr="006E041A">
        <w:trPr>
          <w:trHeight w:val="182"/>
        </w:trPr>
        <w:tc>
          <w:tcPr>
            <w:tcW w:w="240" w:type="dxa"/>
            <w:tcBorders>
              <w:left w:val="nil"/>
            </w:tcBorders>
            <w:shd w:val="clear" w:color="auto" w:fill="FFFFFF"/>
            <w:tcMar>
              <w:top w:w="0" w:type="dxa"/>
              <w:left w:w="40" w:type="dxa"/>
              <w:bottom w:w="0" w:type="dxa"/>
              <w:right w:w="40" w:type="dxa"/>
            </w:tcMar>
            <w:vAlign w:val="center"/>
            <w:hideMark/>
          </w:tcPr>
          <w:p w:rsidR="006E041A" w:rsidRPr="006E041A" w:rsidRDefault="006E041A" w:rsidP="006E041A">
            <w:pPr>
              <w:spacing w:after="0" w:line="182" w:lineRule="atLeast"/>
              <w:jc w:val="both"/>
              <w:rPr>
                <w:rFonts w:ascii="Arial" w:eastAsia="Times New Roman" w:hAnsi="Arial" w:cs="Arial"/>
                <w:sz w:val="20"/>
                <w:szCs w:val="20"/>
              </w:rPr>
            </w:pPr>
            <w:r w:rsidRPr="006E041A">
              <w:rPr>
                <w:rFonts w:ascii="Arial" w:eastAsia="Times New Roman" w:hAnsi="Arial" w:cs="Arial"/>
                <w:sz w:val="20"/>
                <w:szCs w:val="20"/>
              </w:rPr>
              <w:t> </w:t>
            </w:r>
          </w:p>
        </w:tc>
        <w:tc>
          <w:tcPr>
            <w:tcW w:w="3585" w:type="dxa"/>
            <w:shd w:val="clear" w:color="auto" w:fill="FFFFFF"/>
            <w:tcMar>
              <w:top w:w="0" w:type="dxa"/>
              <w:left w:w="40" w:type="dxa"/>
              <w:bottom w:w="0" w:type="dxa"/>
              <w:right w:w="40" w:type="dxa"/>
            </w:tcMar>
            <w:vAlign w:val="center"/>
            <w:hideMark/>
          </w:tcPr>
          <w:p w:rsidR="006E041A" w:rsidRPr="006E041A" w:rsidRDefault="006E041A" w:rsidP="006E041A">
            <w:pPr>
              <w:spacing w:after="0" w:line="182" w:lineRule="atLeast"/>
              <w:jc w:val="both"/>
              <w:rPr>
                <w:rFonts w:ascii="Arial" w:eastAsia="Times New Roman" w:hAnsi="Arial" w:cs="Arial"/>
                <w:sz w:val="20"/>
                <w:szCs w:val="20"/>
              </w:rPr>
            </w:pPr>
            <w:r w:rsidRPr="006E041A">
              <w:rPr>
                <w:rFonts w:ascii="Arial" w:eastAsia="Times New Roman" w:hAnsi="Arial" w:cs="Arial"/>
                <w:sz w:val="20"/>
                <w:szCs w:val="20"/>
              </w:rPr>
              <w:t>b) MAKADAMSKA CESTA</w:t>
            </w:r>
          </w:p>
        </w:tc>
        <w:tc>
          <w:tcPr>
            <w:tcW w:w="3090" w:type="dxa"/>
            <w:shd w:val="clear" w:color="auto" w:fill="FFFFFF"/>
            <w:tcMar>
              <w:top w:w="0" w:type="dxa"/>
              <w:left w:w="40" w:type="dxa"/>
              <w:bottom w:w="0" w:type="dxa"/>
              <w:right w:w="40" w:type="dxa"/>
            </w:tcMar>
            <w:vAlign w:val="center"/>
            <w:hideMark/>
          </w:tcPr>
          <w:p w:rsidR="006E041A" w:rsidRPr="006E041A" w:rsidRDefault="006E041A" w:rsidP="006E041A">
            <w:pPr>
              <w:spacing w:after="0" w:line="182" w:lineRule="atLeast"/>
              <w:jc w:val="right"/>
              <w:rPr>
                <w:rFonts w:ascii="Arial" w:eastAsia="Times New Roman" w:hAnsi="Arial" w:cs="Arial"/>
                <w:sz w:val="20"/>
                <w:szCs w:val="20"/>
              </w:rPr>
            </w:pPr>
            <w:r w:rsidRPr="006E041A">
              <w:rPr>
                <w:rFonts w:ascii="Arial" w:eastAsia="Times New Roman" w:hAnsi="Arial" w:cs="Arial"/>
                <w:sz w:val="20"/>
                <w:szCs w:val="20"/>
              </w:rPr>
              <w:t>30,00 kn/m3</w:t>
            </w:r>
          </w:p>
        </w:tc>
        <w:tc>
          <w:tcPr>
            <w:tcW w:w="3540" w:type="dxa"/>
            <w:tcBorders>
              <w:right w:val="nil"/>
            </w:tcBorders>
            <w:shd w:val="clear" w:color="auto" w:fill="FFFFFF"/>
            <w:tcMar>
              <w:top w:w="0" w:type="dxa"/>
              <w:left w:w="40" w:type="dxa"/>
              <w:bottom w:w="0" w:type="dxa"/>
              <w:right w:w="40" w:type="dxa"/>
            </w:tcMar>
            <w:vAlign w:val="center"/>
            <w:hideMark/>
          </w:tcPr>
          <w:p w:rsidR="006E041A" w:rsidRPr="006E041A" w:rsidRDefault="006E041A" w:rsidP="006E041A">
            <w:pPr>
              <w:spacing w:after="0" w:line="182" w:lineRule="atLeast"/>
              <w:jc w:val="right"/>
              <w:rPr>
                <w:rFonts w:ascii="Arial" w:eastAsia="Times New Roman" w:hAnsi="Arial" w:cs="Arial"/>
                <w:sz w:val="20"/>
                <w:szCs w:val="20"/>
              </w:rPr>
            </w:pPr>
            <w:r w:rsidRPr="006E041A">
              <w:rPr>
                <w:rFonts w:ascii="Arial" w:eastAsia="Times New Roman" w:hAnsi="Arial" w:cs="Arial"/>
                <w:sz w:val="20"/>
                <w:szCs w:val="20"/>
              </w:rPr>
              <w:t>12,00 kn/m3</w:t>
            </w:r>
          </w:p>
        </w:tc>
      </w:tr>
      <w:tr w:rsidR="006E041A" w:rsidRPr="006E041A" w:rsidTr="006E041A">
        <w:trPr>
          <w:trHeight w:val="178"/>
        </w:trPr>
        <w:tc>
          <w:tcPr>
            <w:tcW w:w="240" w:type="dxa"/>
            <w:tcBorders>
              <w:left w:val="nil"/>
            </w:tcBorders>
            <w:shd w:val="clear" w:color="auto" w:fill="FFFFFF"/>
            <w:tcMar>
              <w:top w:w="0" w:type="dxa"/>
              <w:left w:w="40" w:type="dxa"/>
              <w:bottom w:w="0" w:type="dxa"/>
              <w:right w:w="40" w:type="dxa"/>
            </w:tcMar>
            <w:vAlign w:val="center"/>
            <w:hideMark/>
          </w:tcPr>
          <w:p w:rsidR="006E041A" w:rsidRPr="006E041A" w:rsidRDefault="006E041A" w:rsidP="006E041A">
            <w:pPr>
              <w:spacing w:after="0" w:line="178" w:lineRule="atLeast"/>
              <w:jc w:val="both"/>
              <w:rPr>
                <w:rFonts w:ascii="Arial" w:eastAsia="Times New Roman" w:hAnsi="Arial" w:cs="Arial"/>
                <w:sz w:val="20"/>
                <w:szCs w:val="20"/>
              </w:rPr>
            </w:pPr>
            <w:r w:rsidRPr="006E041A">
              <w:rPr>
                <w:rFonts w:ascii="Arial" w:eastAsia="Times New Roman" w:hAnsi="Arial" w:cs="Arial"/>
                <w:sz w:val="20"/>
                <w:szCs w:val="20"/>
              </w:rPr>
              <w:t>3.</w:t>
            </w:r>
          </w:p>
        </w:tc>
        <w:tc>
          <w:tcPr>
            <w:tcW w:w="3585" w:type="dxa"/>
            <w:shd w:val="clear" w:color="auto" w:fill="FFFFFF"/>
            <w:tcMar>
              <w:top w:w="0" w:type="dxa"/>
              <w:left w:w="40" w:type="dxa"/>
              <w:bottom w:w="0" w:type="dxa"/>
              <w:right w:w="40" w:type="dxa"/>
            </w:tcMar>
            <w:vAlign w:val="center"/>
            <w:hideMark/>
          </w:tcPr>
          <w:p w:rsidR="006E041A" w:rsidRPr="006E041A" w:rsidRDefault="006E041A" w:rsidP="006E041A">
            <w:pPr>
              <w:spacing w:after="0" w:line="178" w:lineRule="atLeast"/>
              <w:jc w:val="both"/>
              <w:rPr>
                <w:rFonts w:ascii="Arial" w:eastAsia="Times New Roman" w:hAnsi="Arial" w:cs="Arial"/>
                <w:sz w:val="20"/>
                <w:szCs w:val="20"/>
              </w:rPr>
            </w:pPr>
            <w:r w:rsidRPr="006E041A">
              <w:rPr>
                <w:rFonts w:ascii="Arial" w:eastAsia="Times New Roman" w:hAnsi="Arial" w:cs="Arial"/>
                <w:sz w:val="20"/>
                <w:szCs w:val="20"/>
              </w:rPr>
              <w:t>GROBLJE</w:t>
            </w:r>
          </w:p>
        </w:tc>
        <w:tc>
          <w:tcPr>
            <w:tcW w:w="3090" w:type="dxa"/>
            <w:shd w:val="clear" w:color="auto" w:fill="FFFFFF"/>
            <w:tcMar>
              <w:top w:w="0" w:type="dxa"/>
              <w:left w:w="40" w:type="dxa"/>
              <w:bottom w:w="0" w:type="dxa"/>
              <w:right w:w="40" w:type="dxa"/>
            </w:tcMar>
            <w:vAlign w:val="center"/>
            <w:hideMark/>
          </w:tcPr>
          <w:p w:rsidR="006E041A" w:rsidRPr="006E041A" w:rsidRDefault="006E041A" w:rsidP="006E041A">
            <w:pPr>
              <w:spacing w:after="0" w:line="178" w:lineRule="atLeast"/>
              <w:jc w:val="right"/>
              <w:rPr>
                <w:rFonts w:ascii="Arial" w:eastAsia="Times New Roman" w:hAnsi="Arial" w:cs="Arial"/>
                <w:sz w:val="20"/>
                <w:szCs w:val="20"/>
              </w:rPr>
            </w:pPr>
            <w:r w:rsidRPr="006E041A">
              <w:rPr>
                <w:rFonts w:ascii="Arial" w:eastAsia="Times New Roman" w:hAnsi="Arial" w:cs="Arial"/>
                <w:sz w:val="20"/>
                <w:szCs w:val="20"/>
              </w:rPr>
              <w:t>3,00 kn/m3</w:t>
            </w:r>
          </w:p>
        </w:tc>
        <w:tc>
          <w:tcPr>
            <w:tcW w:w="3540" w:type="dxa"/>
            <w:tcBorders>
              <w:right w:val="nil"/>
            </w:tcBorders>
            <w:shd w:val="clear" w:color="auto" w:fill="FFFFFF"/>
            <w:tcMar>
              <w:top w:w="0" w:type="dxa"/>
              <w:left w:w="40" w:type="dxa"/>
              <w:bottom w:w="0" w:type="dxa"/>
              <w:right w:w="40" w:type="dxa"/>
            </w:tcMar>
            <w:vAlign w:val="center"/>
            <w:hideMark/>
          </w:tcPr>
          <w:p w:rsidR="006E041A" w:rsidRPr="006E041A" w:rsidRDefault="006E041A" w:rsidP="006E041A">
            <w:pPr>
              <w:spacing w:after="0" w:line="178" w:lineRule="atLeast"/>
              <w:jc w:val="right"/>
              <w:rPr>
                <w:rFonts w:ascii="Arial" w:eastAsia="Times New Roman" w:hAnsi="Arial" w:cs="Arial"/>
                <w:sz w:val="20"/>
                <w:szCs w:val="20"/>
              </w:rPr>
            </w:pPr>
            <w:r w:rsidRPr="006E041A">
              <w:rPr>
                <w:rFonts w:ascii="Arial" w:eastAsia="Times New Roman" w:hAnsi="Arial" w:cs="Arial"/>
                <w:sz w:val="20"/>
                <w:szCs w:val="20"/>
              </w:rPr>
              <w:t>....................</w:t>
            </w:r>
          </w:p>
        </w:tc>
      </w:tr>
      <w:tr w:rsidR="006E041A" w:rsidRPr="006E041A" w:rsidTr="006E041A">
        <w:trPr>
          <w:trHeight w:val="274"/>
        </w:trPr>
        <w:tc>
          <w:tcPr>
            <w:tcW w:w="240" w:type="dxa"/>
            <w:tcBorders>
              <w:left w:val="nil"/>
              <w:bottom w:val="nil"/>
            </w:tcBorders>
            <w:shd w:val="clear" w:color="auto" w:fill="FFFFFF"/>
            <w:tcMar>
              <w:top w:w="0" w:type="dxa"/>
              <w:left w:w="40" w:type="dxa"/>
              <w:bottom w:w="0" w:type="dxa"/>
              <w:right w:w="40" w:type="dxa"/>
            </w:tcMar>
            <w:vAlign w:val="center"/>
            <w:hideMark/>
          </w:tcPr>
          <w:p w:rsidR="006E041A" w:rsidRPr="006E041A" w:rsidRDefault="006E041A" w:rsidP="006E041A">
            <w:pPr>
              <w:spacing w:after="0" w:line="300" w:lineRule="atLeast"/>
              <w:jc w:val="both"/>
              <w:rPr>
                <w:rFonts w:ascii="Arial" w:eastAsia="Times New Roman" w:hAnsi="Arial" w:cs="Arial"/>
                <w:sz w:val="20"/>
                <w:szCs w:val="20"/>
              </w:rPr>
            </w:pPr>
            <w:r w:rsidRPr="006E041A">
              <w:rPr>
                <w:rFonts w:ascii="Arial" w:eastAsia="Times New Roman" w:hAnsi="Arial" w:cs="Arial"/>
                <w:sz w:val="20"/>
                <w:szCs w:val="20"/>
              </w:rPr>
              <w:t>4.</w:t>
            </w:r>
          </w:p>
        </w:tc>
        <w:tc>
          <w:tcPr>
            <w:tcW w:w="3585" w:type="dxa"/>
            <w:tcBorders>
              <w:bottom w:val="nil"/>
            </w:tcBorders>
            <w:shd w:val="clear" w:color="auto" w:fill="FFFFFF"/>
            <w:tcMar>
              <w:top w:w="0" w:type="dxa"/>
              <w:left w:w="40" w:type="dxa"/>
              <w:bottom w:w="0" w:type="dxa"/>
              <w:right w:w="40" w:type="dxa"/>
            </w:tcMar>
            <w:vAlign w:val="center"/>
            <w:hideMark/>
          </w:tcPr>
          <w:p w:rsidR="006E041A" w:rsidRPr="006E041A" w:rsidRDefault="006E041A" w:rsidP="006E041A">
            <w:pPr>
              <w:spacing w:after="0" w:line="300" w:lineRule="atLeast"/>
              <w:jc w:val="both"/>
              <w:rPr>
                <w:rFonts w:ascii="Arial" w:eastAsia="Times New Roman" w:hAnsi="Arial" w:cs="Arial"/>
                <w:sz w:val="20"/>
                <w:szCs w:val="20"/>
              </w:rPr>
            </w:pPr>
            <w:r w:rsidRPr="006E041A">
              <w:rPr>
                <w:rFonts w:ascii="Arial" w:eastAsia="Times New Roman" w:hAnsi="Arial" w:cs="Arial"/>
                <w:sz w:val="20"/>
                <w:szCs w:val="20"/>
              </w:rPr>
              <w:t>JAVNA RASVJETA</w:t>
            </w:r>
          </w:p>
        </w:tc>
        <w:tc>
          <w:tcPr>
            <w:tcW w:w="3090" w:type="dxa"/>
            <w:tcBorders>
              <w:bottom w:val="nil"/>
            </w:tcBorders>
            <w:shd w:val="clear" w:color="auto" w:fill="FFFFFF"/>
            <w:tcMar>
              <w:top w:w="0" w:type="dxa"/>
              <w:left w:w="40" w:type="dxa"/>
              <w:bottom w:w="0" w:type="dxa"/>
              <w:right w:w="40" w:type="dxa"/>
            </w:tcMar>
            <w:vAlign w:val="center"/>
            <w:hideMark/>
          </w:tcPr>
          <w:p w:rsidR="006E041A" w:rsidRPr="006E041A" w:rsidRDefault="006E041A" w:rsidP="006E041A">
            <w:pPr>
              <w:spacing w:after="0" w:line="300" w:lineRule="atLeast"/>
              <w:jc w:val="right"/>
              <w:rPr>
                <w:rFonts w:ascii="Arial" w:eastAsia="Times New Roman" w:hAnsi="Arial" w:cs="Arial"/>
                <w:sz w:val="20"/>
                <w:szCs w:val="20"/>
              </w:rPr>
            </w:pPr>
            <w:r w:rsidRPr="006E041A">
              <w:rPr>
                <w:rFonts w:ascii="Arial" w:eastAsia="Times New Roman" w:hAnsi="Arial" w:cs="Arial"/>
                <w:sz w:val="20"/>
                <w:szCs w:val="20"/>
              </w:rPr>
              <w:t>3,00 kn/m3</w:t>
            </w:r>
          </w:p>
        </w:tc>
        <w:tc>
          <w:tcPr>
            <w:tcW w:w="3540" w:type="dxa"/>
            <w:tcBorders>
              <w:bottom w:val="nil"/>
              <w:right w:val="nil"/>
            </w:tcBorders>
            <w:shd w:val="clear" w:color="auto" w:fill="FFFFFF"/>
            <w:tcMar>
              <w:top w:w="0" w:type="dxa"/>
              <w:left w:w="40" w:type="dxa"/>
              <w:bottom w:w="0" w:type="dxa"/>
              <w:right w:w="40" w:type="dxa"/>
            </w:tcMar>
            <w:vAlign w:val="center"/>
            <w:hideMark/>
          </w:tcPr>
          <w:p w:rsidR="006E041A" w:rsidRPr="006E041A" w:rsidRDefault="006E041A" w:rsidP="006E041A">
            <w:pPr>
              <w:spacing w:after="0" w:line="300" w:lineRule="atLeast"/>
              <w:jc w:val="right"/>
              <w:rPr>
                <w:rFonts w:ascii="Arial" w:eastAsia="Times New Roman" w:hAnsi="Arial" w:cs="Arial"/>
                <w:sz w:val="20"/>
                <w:szCs w:val="20"/>
              </w:rPr>
            </w:pPr>
            <w:r w:rsidRPr="006E041A">
              <w:rPr>
                <w:rFonts w:ascii="Arial" w:eastAsia="Times New Roman" w:hAnsi="Arial" w:cs="Arial"/>
                <w:sz w:val="20"/>
                <w:szCs w:val="20"/>
              </w:rPr>
              <w:t>5,00 kn/m3</w:t>
            </w:r>
          </w:p>
        </w:tc>
      </w:tr>
    </w:tbl>
    <w:p w:rsidR="006E041A" w:rsidRPr="006E041A" w:rsidRDefault="006E041A" w:rsidP="006E041A">
      <w:pPr>
        <w:shd w:val="clear" w:color="auto" w:fill="FFFFFF"/>
        <w:spacing w:after="0" w:line="240" w:lineRule="auto"/>
        <w:jc w:val="both"/>
        <w:rPr>
          <w:rFonts w:ascii="Arial" w:eastAsia="Times New Roman" w:hAnsi="Arial" w:cs="Arial"/>
          <w:color w:val="000000"/>
          <w:sz w:val="20"/>
          <w:szCs w:val="20"/>
        </w:rPr>
      </w:pPr>
      <w:r w:rsidRPr="006E041A">
        <w:rPr>
          <w:rFonts w:ascii="Arial" w:eastAsia="Times New Roman" w:hAnsi="Arial" w:cs="Arial"/>
          <w:color w:val="000000"/>
          <w:sz w:val="20"/>
          <w:szCs w:val="20"/>
          <w:lang w:val="en-US"/>
        </w:rPr>
        <w:t>    </w:t>
      </w:r>
    </w:p>
    <w:p w:rsidR="006E041A" w:rsidRPr="006E041A" w:rsidRDefault="006E041A" w:rsidP="006E041A">
      <w:pPr>
        <w:shd w:val="clear" w:color="auto" w:fill="FFFFFF"/>
        <w:spacing w:before="360" w:after="240" w:line="240" w:lineRule="atLeast"/>
        <w:ind w:left="1050" w:right="1050"/>
        <w:rPr>
          <w:rFonts w:ascii="Arial" w:eastAsia="Times New Roman" w:hAnsi="Arial" w:cs="Arial"/>
          <w:b/>
          <w:bCs/>
          <w:color w:val="000000"/>
          <w:sz w:val="20"/>
          <w:szCs w:val="20"/>
        </w:rPr>
      </w:pPr>
      <w:r w:rsidRPr="006E041A">
        <w:rPr>
          <w:rFonts w:ascii="Arial" w:eastAsia="Times New Roman" w:hAnsi="Arial" w:cs="Arial"/>
          <w:b/>
          <w:bCs/>
          <w:color w:val="000000"/>
          <w:sz w:val="20"/>
          <w:szCs w:val="20"/>
          <w:lang w:val="en-US"/>
        </w:rPr>
        <w:t>IV.</w:t>
      </w:r>
      <w:r w:rsidRPr="006E041A">
        <w:rPr>
          <w:rFonts w:ascii="Arial" w:eastAsia="Times New Roman" w:hAnsi="Arial" w:cs="Arial"/>
          <w:b/>
          <w:bCs/>
          <w:color w:val="000000"/>
          <w:sz w:val="20"/>
          <w:lang w:val="en-US"/>
        </w:rPr>
        <w:t> </w:t>
      </w:r>
      <w:r w:rsidRPr="006E041A">
        <w:rPr>
          <w:rFonts w:ascii="Arial" w:eastAsia="Times New Roman" w:hAnsi="Arial" w:cs="Arial"/>
          <w:b/>
          <w:bCs/>
          <w:color w:val="000000"/>
          <w:sz w:val="20"/>
          <w:szCs w:val="20"/>
        </w:rPr>
        <w:t>NAČIN I ROKOVI PLAĆANJA KOMUNALNOG DOPRINOSA</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6.</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Komunalni doprinos obračunava se u skladu s obujmom, odnosno po m3 (prostornom metru) građevine koja se gradi na građevnoj čestici, a kod građevine koja se uklanja zbog gradnje nove građevine ili kada se postojeća građevina dograđuje, komunalni se doprinos obračunava na razliku u obujmu u odnosu na prijašnju građevinu.</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7.</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Iznimno od odredbe članka 6. ove Odluke, za otvorene bazene, otvorena igrališta, skladišta i druge otvorene građevine komunalni se doprinos obračunava po m2 tlocrtne površine te građevine, pri čemu je jedinična vrijednost komunalnog doprinosa za obračun njezine površine po m2 izražena u kunama jednaka jediničnoj vrijednosti komunalnog doprinosa za obračun obujma po m3 građevine prema članku 5. ove Odluke.</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8.</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Ako građevinska čestica na kojoj postoji ili će se graditi građevina za koju se obračunava komunalni doprinos ima mogućnost priključenja na više cesta različite kvalitete kolnika, tada se za istu građevinu obračunava komunalni doprinos za izgradnju ceste za onu cestu koja ima bolju kvalitetu kolnika.</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9.</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Komunalni doprinos plaća se na osnovu rješenja kojeg donosi Upravni odjel Općine Brckovljani u postupku pokrenutom po zahtjevu stranke ili po službenoj dužnosti.</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Rješenje iz stavka 1. ovog članka obavezno sadrži:</w:t>
      </w:r>
    </w:p>
    <w:p w:rsidR="006E041A" w:rsidRPr="006E041A" w:rsidRDefault="006E041A" w:rsidP="006E041A">
      <w:pPr>
        <w:shd w:val="clear" w:color="auto" w:fill="FFFFFF"/>
        <w:spacing w:after="15" w:line="240" w:lineRule="auto"/>
        <w:ind w:left="1770" w:right="1770"/>
        <w:jc w:val="both"/>
        <w:rPr>
          <w:rFonts w:ascii="Arial" w:eastAsia="Times New Roman" w:hAnsi="Arial" w:cs="Arial"/>
          <w:color w:val="000000"/>
          <w:sz w:val="20"/>
          <w:szCs w:val="20"/>
        </w:rPr>
      </w:pPr>
      <w:r w:rsidRPr="006E041A">
        <w:rPr>
          <w:rFonts w:ascii="Arial" w:eastAsia="Times New Roman" w:hAnsi="Arial" w:cs="Arial"/>
          <w:color w:val="000000"/>
          <w:sz w:val="20"/>
          <w:szCs w:val="20"/>
        </w:rPr>
        <w:t>1. iznos sredstava komunalnog doprinosa koji je obveznik dužan platiti,</w:t>
      </w:r>
    </w:p>
    <w:p w:rsidR="006E041A" w:rsidRPr="006E041A" w:rsidRDefault="006E041A" w:rsidP="006E041A">
      <w:pPr>
        <w:shd w:val="clear" w:color="auto" w:fill="FFFFFF"/>
        <w:spacing w:before="15" w:after="15" w:line="240" w:lineRule="auto"/>
        <w:ind w:left="1770" w:right="1770"/>
        <w:jc w:val="both"/>
        <w:rPr>
          <w:rFonts w:ascii="Arial" w:eastAsia="Times New Roman" w:hAnsi="Arial" w:cs="Arial"/>
          <w:color w:val="000000"/>
          <w:sz w:val="20"/>
          <w:szCs w:val="20"/>
        </w:rPr>
      </w:pPr>
      <w:r w:rsidRPr="006E041A">
        <w:rPr>
          <w:rFonts w:ascii="Arial" w:eastAsia="Times New Roman" w:hAnsi="Arial" w:cs="Arial"/>
          <w:color w:val="000000"/>
          <w:sz w:val="20"/>
          <w:szCs w:val="20"/>
        </w:rPr>
        <w:t>2. način i rokove plaćanja komunalnog doprinosa</w:t>
      </w:r>
    </w:p>
    <w:p w:rsidR="006E041A" w:rsidRPr="006E041A" w:rsidRDefault="006E041A" w:rsidP="006E041A">
      <w:pPr>
        <w:shd w:val="clear" w:color="auto" w:fill="FFFFFF"/>
        <w:spacing w:before="15" w:after="15" w:line="240" w:lineRule="auto"/>
        <w:ind w:left="1770" w:right="1770"/>
        <w:jc w:val="both"/>
        <w:rPr>
          <w:rFonts w:ascii="Arial" w:eastAsia="Times New Roman" w:hAnsi="Arial" w:cs="Arial"/>
          <w:color w:val="000000"/>
          <w:sz w:val="20"/>
          <w:szCs w:val="20"/>
        </w:rPr>
      </w:pPr>
      <w:r w:rsidRPr="006E041A">
        <w:rPr>
          <w:rFonts w:ascii="Arial" w:eastAsia="Times New Roman" w:hAnsi="Arial" w:cs="Arial"/>
          <w:color w:val="000000"/>
          <w:sz w:val="20"/>
          <w:szCs w:val="20"/>
        </w:rPr>
        <w:t>3. prikaz načina obračuna komunalnog doprinosa za građevinu koja se gradi,</w:t>
      </w:r>
    </w:p>
    <w:p w:rsidR="006E041A" w:rsidRPr="006E041A" w:rsidRDefault="006E041A" w:rsidP="006E041A">
      <w:pPr>
        <w:shd w:val="clear" w:color="auto" w:fill="FFFFFF"/>
        <w:spacing w:before="15" w:after="15" w:line="240" w:lineRule="auto"/>
        <w:ind w:left="1770" w:right="1770"/>
        <w:jc w:val="both"/>
        <w:rPr>
          <w:rFonts w:ascii="Arial" w:eastAsia="Times New Roman" w:hAnsi="Arial" w:cs="Arial"/>
          <w:color w:val="000000"/>
          <w:sz w:val="20"/>
          <w:szCs w:val="20"/>
        </w:rPr>
      </w:pPr>
      <w:r w:rsidRPr="006E041A">
        <w:rPr>
          <w:rFonts w:ascii="Arial" w:eastAsia="Times New Roman" w:hAnsi="Arial" w:cs="Arial"/>
          <w:color w:val="000000"/>
          <w:sz w:val="20"/>
          <w:szCs w:val="20"/>
        </w:rPr>
        <w:t>4. popis i rok izgradnje objekata i uređaja komunalne infrastrukture,</w:t>
      </w:r>
    </w:p>
    <w:p w:rsidR="006E041A" w:rsidRPr="006E041A" w:rsidRDefault="006E041A" w:rsidP="006E041A">
      <w:pPr>
        <w:shd w:val="clear" w:color="auto" w:fill="FFFFFF"/>
        <w:spacing w:before="15" w:after="100" w:line="240" w:lineRule="auto"/>
        <w:ind w:left="1770" w:right="1770"/>
        <w:jc w:val="both"/>
        <w:rPr>
          <w:rFonts w:ascii="Arial" w:eastAsia="Times New Roman" w:hAnsi="Arial" w:cs="Arial"/>
          <w:color w:val="000000"/>
          <w:sz w:val="20"/>
          <w:szCs w:val="20"/>
        </w:rPr>
      </w:pPr>
      <w:r w:rsidRPr="006E041A">
        <w:rPr>
          <w:rFonts w:ascii="Arial" w:eastAsia="Times New Roman" w:hAnsi="Arial" w:cs="Arial"/>
          <w:color w:val="000000"/>
          <w:sz w:val="20"/>
          <w:szCs w:val="20"/>
        </w:rPr>
        <w:t>5. obvezu povrata sredstava ako Općina Brckovljani ne izvrši svoju obavezu.</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10.</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Obveznik komunalnog doprinosa plaća komunalni doprinos odjednom ili najviše u tri (3) rate na žiro račun proračuna Općine Brckovljani broj:3011 -630-399 otvoren kod ZAP-a ispostava Dugo Selo.</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Iznos jedne rate iz stavka 1. ovog članka ne može biti manji od 1.000,00 kuna.</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lastRenderedPageBreak/>
        <w:t>Članak 11.</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Izvršno rješenje o komunalnom doprinosu izvršava upravni odjel Općine Brckovljani u postupku i na način određen propisima o prisilnoj naplati poreza na dohodak odnosno dobit.</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12.</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Upravni odjel općine Brckovljani izdat će potvrdu o plaćenom komunalnom doprinosu tek kada je vlasnik građevine ili građevinske čestice obveznik komunalnog doprinosa podmirio obveze iz rješenja o komunalnom doprinosu i sva dospjela dugovanja prema Općini Brckovljani (komunalna naknada, naknada za održavanje groblja, obveze prema posebnom ugovoru o sufinanciranju izgradnje komunalnih objekata i uređaja i slično).</w:t>
      </w:r>
    </w:p>
    <w:p w:rsidR="006E041A" w:rsidRPr="006E041A" w:rsidRDefault="006E041A" w:rsidP="006E041A">
      <w:pPr>
        <w:shd w:val="clear" w:color="auto" w:fill="FFFFFF"/>
        <w:spacing w:before="360" w:after="240" w:line="240" w:lineRule="atLeast"/>
        <w:ind w:left="1050" w:right="1050"/>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V. OSLOBAĐANJE OD PLAĆANJA KOMUNALNOG DOPRINOSA</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13.</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Vlasnici građevinskih čestica i drugih objekata, investitori koji su samodoprinosom ili na drugi način sudjelovali u financiranju gradnje pojedinih objekata i uređaja komunalne infrastrukture, kod utvrđivanja troškova imaju pravo na umanjenje troškova za iznos sredstava kojima su sudjelovali u financiranju izgradnje tih objekata.</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Uz zahtjev za oslobađanje plaćanja komunalnog doprinosa prema stavku 1. ovog članka vlasnik građevinske čestice ili drugog objekta treba priložiti dokaze o uplati.</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Vlasnici građevinskih čestica i drugih objekata te njihov prvi nasljedni red (sin ili kći) ako su živjeli sa roditeljima, koji su plaćali samodoprinos za izgradnju komunalne infrastrukture na području bivše Općine Dugo Selo oslobođeni su plaćanja komunalnog doprinosa u iznosu umanjenom za 10% za svaku godinu plaćanja samodoprinosa. Dokaz za plaćanje samodoprinosa je potvrda o prebivalištu izdana od MUP-a te potvrda o plaćanju samodoprinosa izdana od poduzeća, porezne uprave, mirovinskog osiguranja i drugi za razdoblje od 1981-1991. godine.</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Umanjenje komunalnog doprinosa temeljem samodoprinosa iz prethodnog stavka priznaje se samo za objekte komunalne infrastrukture koji su građani u vrijeme plaćanja samodoprinosa.</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14.</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U slučaju kada Općina Brckovljani, građani i druge pravne osobe pristupe izgradnji novog komunalnog objekta ili uređaja u naselju ili u pojedinoj ulici, vlasnici građevinskih čestica i drugih objekata - ne oslobađaju se plaćanja komunalnog doprinosa prema odrebama članka 13. ove Odluke.</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15.</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Općinsko vijeće Općine Brckovljani na prijedlog Poglavarstva Općine Brckovljani može djelomično ili potpuno osloboditi obveznike plaćanja komunalnog doprinosa po pismenom zahtjevu istog.</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16.</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U slučajevima kada bude Općina Brckovljani investitor izgradnje građevine za vlastite potrebe tada Općina Brckovljani nije obveznik plaćanja komunalnog doprinosa.</w:t>
      </w:r>
    </w:p>
    <w:p w:rsidR="006E041A" w:rsidRPr="006E041A" w:rsidRDefault="006E041A" w:rsidP="006E041A">
      <w:pPr>
        <w:shd w:val="clear" w:color="auto" w:fill="FFFFFF"/>
        <w:spacing w:before="360" w:after="240" w:line="240" w:lineRule="atLeast"/>
        <w:ind w:left="1050" w:right="1050"/>
        <w:rPr>
          <w:rFonts w:ascii="Arial" w:eastAsia="Times New Roman" w:hAnsi="Arial" w:cs="Arial"/>
          <w:b/>
          <w:bCs/>
          <w:color w:val="000000"/>
          <w:sz w:val="20"/>
          <w:szCs w:val="20"/>
        </w:rPr>
      </w:pPr>
      <w:r w:rsidRPr="006E041A">
        <w:rPr>
          <w:rFonts w:ascii="Arial" w:eastAsia="Times New Roman" w:hAnsi="Arial" w:cs="Arial"/>
          <w:b/>
          <w:bCs/>
          <w:color w:val="000000"/>
          <w:sz w:val="20"/>
          <w:szCs w:val="20"/>
          <w:lang w:val="en-US"/>
        </w:rPr>
        <w:t>VI.</w:t>
      </w:r>
      <w:r w:rsidRPr="006E041A">
        <w:rPr>
          <w:rFonts w:ascii="Arial" w:eastAsia="Times New Roman" w:hAnsi="Arial" w:cs="Arial"/>
          <w:b/>
          <w:bCs/>
          <w:color w:val="000000"/>
          <w:sz w:val="20"/>
          <w:lang w:val="en-US"/>
        </w:rPr>
        <w:t> </w:t>
      </w:r>
      <w:r w:rsidRPr="006E041A">
        <w:rPr>
          <w:rFonts w:ascii="Arial" w:eastAsia="Times New Roman" w:hAnsi="Arial" w:cs="Arial"/>
          <w:b/>
          <w:bCs/>
          <w:color w:val="000000"/>
          <w:sz w:val="20"/>
          <w:szCs w:val="20"/>
        </w:rPr>
        <w:t>IZVORI SREDSTAVA U SLUČAJU OSLOBAĐANJA OD PLAĆANJA KOMUNALNOG DOPRINOSA</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lastRenderedPageBreak/>
        <w:t>Članak 17.</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U slučaju oslobađanja od plaćanja komunalnog doprinosa iz članka 13.15. i 16. ove Odluke, sredstva potrebna za izgradnju objekata i uređaja komunalne infrastrukture iz stavka 1. članka 22. Zakona o komunalnom gospodarstvu, osigurati će se u proračunu Općine Brckovljani.</w:t>
      </w:r>
    </w:p>
    <w:p w:rsidR="006E041A" w:rsidRPr="006E041A" w:rsidRDefault="006E041A" w:rsidP="006E041A">
      <w:pPr>
        <w:shd w:val="clear" w:color="auto" w:fill="FFFFFF"/>
        <w:spacing w:before="360" w:after="240" w:line="240" w:lineRule="atLeast"/>
        <w:ind w:left="1050" w:right="1050"/>
        <w:rPr>
          <w:rFonts w:ascii="Arial" w:eastAsia="Times New Roman" w:hAnsi="Arial" w:cs="Arial"/>
          <w:b/>
          <w:bCs/>
          <w:color w:val="000000"/>
          <w:sz w:val="20"/>
          <w:szCs w:val="20"/>
        </w:rPr>
      </w:pPr>
      <w:r w:rsidRPr="006E041A">
        <w:rPr>
          <w:rFonts w:ascii="Arial" w:eastAsia="Times New Roman" w:hAnsi="Arial" w:cs="Arial"/>
          <w:b/>
          <w:bCs/>
          <w:color w:val="000000"/>
          <w:sz w:val="20"/>
          <w:szCs w:val="20"/>
          <w:lang w:val="en-US"/>
        </w:rPr>
        <w:t>VII.</w:t>
      </w:r>
      <w:r w:rsidRPr="006E041A">
        <w:rPr>
          <w:rFonts w:ascii="Arial" w:eastAsia="Times New Roman" w:hAnsi="Arial" w:cs="Arial"/>
          <w:b/>
          <w:bCs/>
          <w:color w:val="000000"/>
          <w:sz w:val="20"/>
          <w:lang w:val="en-US"/>
        </w:rPr>
        <w:t> </w:t>
      </w:r>
      <w:r w:rsidRPr="006E041A">
        <w:rPr>
          <w:rFonts w:ascii="Arial" w:eastAsia="Times New Roman" w:hAnsi="Arial" w:cs="Arial"/>
          <w:b/>
          <w:bCs/>
          <w:color w:val="000000"/>
          <w:sz w:val="20"/>
          <w:szCs w:val="20"/>
        </w:rPr>
        <w:t>PRIJELAZNE I ZAVRŠNE ODREDBE</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18.</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Stupanjem na snagu ove Odluke prestaju važiti Odluka o komunalnom doprinosu (Službeni glasnik Općine Brckovljani broj 8/97), Odluka o izmjeni i dopuni odluke o komunalnom doprinosu i Odluke o visini komunalnog doprinosa (Službeni glasnik Općine Brckovljani broj 3/98).</w:t>
      </w:r>
    </w:p>
    <w:p w:rsidR="006E041A" w:rsidRPr="006E041A" w:rsidRDefault="006E041A" w:rsidP="006E041A">
      <w:pPr>
        <w:shd w:val="clear" w:color="auto" w:fill="FFFFFF"/>
        <w:spacing w:before="240" w:after="120" w:line="240" w:lineRule="atLeast"/>
        <w:ind w:left="1050" w:right="1050"/>
        <w:jc w:val="center"/>
        <w:rPr>
          <w:rFonts w:ascii="Arial" w:eastAsia="Times New Roman" w:hAnsi="Arial" w:cs="Arial"/>
          <w:b/>
          <w:bCs/>
          <w:color w:val="000000"/>
          <w:sz w:val="20"/>
          <w:szCs w:val="20"/>
        </w:rPr>
      </w:pPr>
      <w:r w:rsidRPr="006E041A">
        <w:rPr>
          <w:rFonts w:ascii="Arial" w:eastAsia="Times New Roman" w:hAnsi="Arial" w:cs="Arial"/>
          <w:b/>
          <w:bCs/>
          <w:color w:val="000000"/>
          <w:sz w:val="20"/>
          <w:szCs w:val="20"/>
        </w:rPr>
        <w:t>Članak 19.</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Ova Odluka stupa na snagu danom donošenja, a objavit će se u Službenom glasniku općine Brckovljani.</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lang w:val="en-AU"/>
        </w:rPr>
        <w:t>    </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Klasa: 021-05/01-01/146</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Ur.broj: 238/04-01-1</w:t>
      </w:r>
    </w:p>
    <w:p w:rsidR="006E041A" w:rsidRPr="006E041A" w:rsidRDefault="006E041A" w:rsidP="006E041A">
      <w:pPr>
        <w:shd w:val="clear" w:color="auto" w:fill="FFFFFF"/>
        <w:spacing w:before="15" w:after="15" w:line="240" w:lineRule="auto"/>
        <w:ind w:left="1050" w:right="1050"/>
        <w:jc w:val="both"/>
        <w:rPr>
          <w:rFonts w:ascii="Arial" w:eastAsia="Times New Roman" w:hAnsi="Arial" w:cs="Arial"/>
          <w:color w:val="000000"/>
          <w:sz w:val="20"/>
          <w:szCs w:val="20"/>
        </w:rPr>
      </w:pPr>
      <w:r w:rsidRPr="006E041A">
        <w:rPr>
          <w:rFonts w:ascii="Arial" w:eastAsia="Times New Roman" w:hAnsi="Arial" w:cs="Arial"/>
          <w:color w:val="000000"/>
          <w:sz w:val="20"/>
          <w:szCs w:val="20"/>
        </w:rPr>
        <w:t>Dugo Selo, 28.12.2001.</w:t>
      </w:r>
    </w:p>
    <w:p w:rsidR="006E041A" w:rsidRPr="006E041A" w:rsidRDefault="006E041A" w:rsidP="006E041A">
      <w:pPr>
        <w:shd w:val="clear" w:color="auto" w:fill="FFFFFF"/>
        <w:spacing w:before="120" w:after="120" w:line="240" w:lineRule="atLeast"/>
        <w:ind w:left="1050" w:right="1050"/>
        <w:jc w:val="right"/>
        <w:rPr>
          <w:rFonts w:ascii="Arial" w:eastAsia="Times New Roman" w:hAnsi="Arial" w:cs="Arial"/>
          <w:color w:val="000000"/>
          <w:sz w:val="20"/>
          <w:szCs w:val="20"/>
        </w:rPr>
      </w:pPr>
      <w:r w:rsidRPr="006E041A">
        <w:rPr>
          <w:rFonts w:ascii="Arial" w:eastAsia="Times New Roman" w:hAnsi="Arial" w:cs="Arial"/>
          <w:color w:val="000000"/>
          <w:sz w:val="20"/>
          <w:szCs w:val="20"/>
        </w:rPr>
        <w:t>PREDSJEDNIK</w:t>
      </w:r>
    </w:p>
    <w:p w:rsidR="006E041A" w:rsidRPr="006E041A" w:rsidRDefault="006E041A" w:rsidP="006E041A">
      <w:pPr>
        <w:shd w:val="clear" w:color="auto" w:fill="FFFFFF"/>
        <w:spacing w:before="120" w:after="120" w:line="240" w:lineRule="atLeast"/>
        <w:ind w:left="1050" w:right="1050"/>
        <w:jc w:val="right"/>
        <w:rPr>
          <w:rFonts w:ascii="Arial" w:eastAsia="Times New Roman" w:hAnsi="Arial" w:cs="Arial"/>
          <w:color w:val="000000"/>
          <w:sz w:val="20"/>
          <w:szCs w:val="20"/>
        </w:rPr>
      </w:pPr>
      <w:r w:rsidRPr="006E041A">
        <w:rPr>
          <w:rFonts w:ascii="Arial" w:eastAsia="Times New Roman" w:hAnsi="Arial" w:cs="Arial"/>
          <w:color w:val="000000"/>
          <w:sz w:val="20"/>
          <w:szCs w:val="20"/>
        </w:rPr>
        <w:t>Općinskog vijeća Općine Brckovljani</w:t>
      </w:r>
    </w:p>
    <w:p w:rsidR="006E041A" w:rsidRPr="006E041A" w:rsidRDefault="006E041A" w:rsidP="006E041A">
      <w:pPr>
        <w:shd w:val="clear" w:color="auto" w:fill="FFFFFF"/>
        <w:spacing w:before="120" w:after="120" w:line="240" w:lineRule="atLeast"/>
        <w:ind w:left="1050" w:right="1050"/>
        <w:jc w:val="right"/>
        <w:rPr>
          <w:rFonts w:ascii="Arial" w:eastAsia="Times New Roman" w:hAnsi="Arial" w:cs="Arial"/>
          <w:color w:val="000000"/>
          <w:sz w:val="20"/>
          <w:szCs w:val="20"/>
        </w:rPr>
      </w:pPr>
      <w:r w:rsidRPr="006E041A">
        <w:rPr>
          <w:rFonts w:ascii="Arial" w:eastAsia="Times New Roman" w:hAnsi="Arial" w:cs="Arial"/>
          <w:color w:val="000000"/>
          <w:sz w:val="20"/>
          <w:szCs w:val="20"/>
        </w:rPr>
        <w:t>Milan Kralj, v.r.</w:t>
      </w:r>
    </w:p>
    <w:p w:rsidR="00017590" w:rsidRDefault="00017590"/>
    <w:sectPr w:rsidR="000175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6E041A"/>
    <w:rsid w:val="00017590"/>
    <w:rsid w:val="006E041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6E04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6E04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6E0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041A"/>
  </w:style>
  <w:style w:type="paragraph" w:customStyle="1" w:styleId="naslovc">
    <w:name w:val="naslov_c"/>
    <w:basedOn w:val="Normal"/>
    <w:rsid w:val="006E04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E04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sjednik">
    <w:name w:val="predsjednik"/>
    <w:basedOn w:val="Normal"/>
    <w:rsid w:val="006E04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0102257">
      <w:bodyDiv w:val="1"/>
      <w:marLeft w:val="0"/>
      <w:marRight w:val="0"/>
      <w:marTop w:val="0"/>
      <w:marBottom w:val="0"/>
      <w:divBdr>
        <w:top w:val="none" w:sz="0" w:space="0" w:color="auto"/>
        <w:left w:val="none" w:sz="0" w:space="0" w:color="auto"/>
        <w:bottom w:val="none" w:sz="0" w:space="0" w:color="auto"/>
        <w:right w:val="none" w:sz="0" w:space="0" w:color="auto"/>
      </w:divBdr>
      <w:divsChild>
        <w:div w:id="13156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325670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7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2016-07-19T19:05:00Z</dcterms:created>
  <dcterms:modified xsi:type="dcterms:W3CDTF">2016-07-19T19:05:00Z</dcterms:modified>
</cp:coreProperties>
</file>